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DAB71" w14:textId="77777777" w:rsidR="00384FE7" w:rsidRPr="00384FE7" w:rsidRDefault="0089400C" w:rsidP="0089400C">
      <w:pPr>
        <w:jc w:val="center"/>
        <w:outlineLvl w:val="0"/>
        <w:rPr>
          <w:b/>
          <w:bCs/>
        </w:rPr>
      </w:pPr>
      <w:r>
        <w:t xml:space="preserve"> </w:t>
      </w:r>
      <w:r w:rsidRPr="00384FE7">
        <w:rPr>
          <w:b/>
          <w:bCs/>
        </w:rPr>
        <w:t xml:space="preserve">REQUEST FOR PROPOSALS </w:t>
      </w:r>
    </w:p>
    <w:p w14:paraId="0ED56381" w14:textId="77777777" w:rsidR="00384FE7" w:rsidRDefault="00384FE7" w:rsidP="0089400C">
      <w:pPr>
        <w:jc w:val="center"/>
        <w:outlineLvl w:val="0"/>
        <w:rPr>
          <w:sz w:val="22"/>
          <w:szCs w:val="22"/>
        </w:rPr>
      </w:pPr>
      <w:r>
        <w:rPr>
          <w:sz w:val="22"/>
          <w:szCs w:val="22"/>
        </w:rPr>
        <w:t xml:space="preserve">Proposals to Sell </w:t>
      </w:r>
      <w:r w:rsidR="00560FB3" w:rsidRPr="00384FE7">
        <w:rPr>
          <w:sz w:val="22"/>
          <w:szCs w:val="22"/>
        </w:rPr>
        <w:t>W</w:t>
      </w:r>
      <w:r>
        <w:rPr>
          <w:sz w:val="22"/>
          <w:szCs w:val="22"/>
        </w:rPr>
        <w:t xml:space="preserve">arehouse </w:t>
      </w:r>
      <w:r w:rsidR="00560FB3" w:rsidRPr="00384FE7">
        <w:rPr>
          <w:sz w:val="22"/>
          <w:szCs w:val="22"/>
        </w:rPr>
        <w:t>S</w:t>
      </w:r>
      <w:r>
        <w:rPr>
          <w:sz w:val="22"/>
          <w:szCs w:val="22"/>
        </w:rPr>
        <w:t xml:space="preserve">pace to the </w:t>
      </w:r>
    </w:p>
    <w:p w14:paraId="382ACEED" w14:textId="088D6310" w:rsidR="0089400C" w:rsidRDefault="00384FE7" w:rsidP="00384FE7">
      <w:pPr>
        <w:jc w:val="center"/>
        <w:outlineLvl w:val="0"/>
        <w:rPr>
          <w:sz w:val="22"/>
          <w:szCs w:val="22"/>
        </w:rPr>
      </w:pPr>
      <w:r>
        <w:rPr>
          <w:sz w:val="22"/>
          <w:szCs w:val="22"/>
        </w:rPr>
        <w:t>State of Connecticut</w:t>
      </w:r>
    </w:p>
    <w:p w14:paraId="331E15E9" w14:textId="77777777" w:rsidR="00C328D6" w:rsidRDefault="00C328D6" w:rsidP="00384FE7">
      <w:pPr>
        <w:jc w:val="center"/>
        <w:outlineLvl w:val="0"/>
        <w:rPr>
          <w:sz w:val="22"/>
          <w:szCs w:val="22"/>
        </w:rPr>
      </w:pPr>
    </w:p>
    <w:tbl>
      <w:tblPr>
        <w:tblStyle w:val="TableGrid"/>
        <w:tblW w:w="0" w:type="auto"/>
        <w:jc w:val="center"/>
        <w:tblLook w:val="04A0" w:firstRow="1" w:lastRow="0" w:firstColumn="1" w:lastColumn="0" w:noHBand="0" w:noVBand="1"/>
      </w:tblPr>
      <w:tblGrid>
        <w:gridCol w:w="1885"/>
        <w:gridCol w:w="3600"/>
      </w:tblGrid>
      <w:tr w:rsidR="00C328D6" w14:paraId="20B4B50D" w14:textId="77777777" w:rsidTr="00C328D6">
        <w:trPr>
          <w:jc w:val="center"/>
        </w:trPr>
        <w:tc>
          <w:tcPr>
            <w:tcW w:w="1885" w:type="dxa"/>
          </w:tcPr>
          <w:p w14:paraId="66C7BE26" w14:textId="6694662A" w:rsidR="00C328D6" w:rsidRDefault="00C328D6" w:rsidP="00C328D6">
            <w:pPr>
              <w:outlineLvl w:val="0"/>
              <w:rPr>
                <w:sz w:val="22"/>
                <w:szCs w:val="22"/>
              </w:rPr>
            </w:pPr>
            <w:r>
              <w:rPr>
                <w:sz w:val="22"/>
                <w:szCs w:val="22"/>
              </w:rPr>
              <w:t>Proposal No.</w:t>
            </w:r>
          </w:p>
        </w:tc>
        <w:tc>
          <w:tcPr>
            <w:tcW w:w="3600" w:type="dxa"/>
          </w:tcPr>
          <w:p w14:paraId="17D6A640" w14:textId="419447E8" w:rsidR="00C328D6" w:rsidRDefault="00C328D6" w:rsidP="00C328D6">
            <w:pPr>
              <w:outlineLvl w:val="0"/>
              <w:rPr>
                <w:sz w:val="22"/>
                <w:szCs w:val="22"/>
              </w:rPr>
            </w:pPr>
            <w:r>
              <w:rPr>
                <w:sz w:val="22"/>
                <w:szCs w:val="22"/>
              </w:rPr>
              <w:t>PB 20-01</w:t>
            </w:r>
          </w:p>
        </w:tc>
      </w:tr>
      <w:tr w:rsidR="00C328D6" w14:paraId="0901F3E2" w14:textId="77777777" w:rsidTr="00C328D6">
        <w:trPr>
          <w:jc w:val="center"/>
        </w:trPr>
        <w:tc>
          <w:tcPr>
            <w:tcW w:w="1885" w:type="dxa"/>
          </w:tcPr>
          <w:p w14:paraId="4F92785B" w14:textId="18B9770F" w:rsidR="00C328D6" w:rsidRDefault="00C328D6" w:rsidP="00C328D6">
            <w:pPr>
              <w:outlineLvl w:val="0"/>
              <w:rPr>
                <w:sz w:val="22"/>
                <w:szCs w:val="22"/>
              </w:rPr>
            </w:pPr>
            <w:r>
              <w:rPr>
                <w:sz w:val="22"/>
                <w:szCs w:val="22"/>
              </w:rPr>
              <w:t>Proposal Due Date</w:t>
            </w:r>
          </w:p>
        </w:tc>
        <w:tc>
          <w:tcPr>
            <w:tcW w:w="3600" w:type="dxa"/>
          </w:tcPr>
          <w:p w14:paraId="41202395" w14:textId="7375148C" w:rsidR="00C328D6" w:rsidRDefault="00C328D6" w:rsidP="00C328D6">
            <w:pPr>
              <w:outlineLvl w:val="0"/>
              <w:rPr>
                <w:sz w:val="22"/>
                <w:szCs w:val="22"/>
              </w:rPr>
            </w:pPr>
            <w:r>
              <w:rPr>
                <w:sz w:val="22"/>
                <w:szCs w:val="22"/>
              </w:rPr>
              <w:t>Wednesday, May 20, 2020</w:t>
            </w:r>
          </w:p>
        </w:tc>
      </w:tr>
      <w:tr w:rsidR="00C328D6" w14:paraId="66D2CCCB" w14:textId="77777777" w:rsidTr="00C328D6">
        <w:trPr>
          <w:jc w:val="center"/>
        </w:trPr>
        <w:tc>
          <w:tcPr>
            <w:tcW w:w="1885" w:type="dxa"/>
          </w:tcPr>
          <w:p w14:paraId="2AF5D608" w14:textId="68D212FE" w:rsidR="00C328D6" w:rsidRDefault="00C328D6" w:rsidP="00C328D6">
            <w:pPr>
              <w:outlineLvl w:val="0"/>
              <w:rPr>
                <w:sz w:val="22"/>
                <w:szCs w:val="22"/>
              </w:rPr>
            </w:pPr>
            <w:r>
              <w:rPr>
                <w:sz w:val="22"/>
                <w:szCs w:val="22"/>
              </w:rPr>
              <w:t>Location</w:t>
            </w:r>
          </w:p>
        </w:tc>
        <w:tc>
          <w:tcPr>
            <w:tcW w:w="3600" w:type="dxa"/>
          </w:tcPr>
          <w:p w14:paraId="3420BBD6" w14:textId="49E85034" w:rsidR="00C328D6" w:rsidRDefault="00C328D6" w:rsidP="00C328D6">
            <w:pPr>
              <w:outlineLvl w:val="0"/>
              <w:rPr>
                <w:sz w:val="22"/>
                <w:szCs w:val="22"/>
              </w:rPr>
            </w:pPr>
            <w:r>
              <w:rPr>
                <w:sz w:val="22"/>
                <w:szCs w:val="22"/>
              </w:rPr>
              <w:t>Central Connecticut</w:t>
            </w:r>
          </w:p>
        </w:tc>
      </w:tr>
      <w:tr w:rsidR="00C328D6" w14:paraId="59054333" w14:textId="77777777" w:rsidTr="00C328D6">
        <w:trPr>
          <w:jc w:val="center"/>
        </w:trPr>
        <w:tc>
          <w:tcPr>
            <w:tcW w:w="1885" w:type="dxa"/>
          </w:tcPr>
          <w:p w14:paraId="40076F99" w14:textId="7AC18C7A" w:rsidR="00C328D6" w:rsidRDefault="00C328D6" w:rsidP="00C328D6">
            <w:pPr>
              <w:outlineLvl w:val="0"/>
              <w:rPr>
                <w:sz w:val="22"/>
                <w:szCs w:val="22"/>
              </w:rPr>
            </w:pPr>
            <w:r>
              <w:rPr>
                <w:sz w:val="22"/>
                <w:szCs w:val="22"/>
              </w:rPr>
              <w:t xml:space="preserve">Improvements </w:t>
            </w:r>
          </w:p>
        </w:tc>
        <w:tc>
          <w:tcPr>
            <w:tcW w:w="3600" w:type="dxa"/>
          </w:tcPr>
          <w:p w14:paraId="785110FA" w14:textId="454D7BFD" w:rsidR="00C328D6" w:rsidRDefault="00C328D6" w:rsidP="00C328D6">
            <w:pPr>
              <w:outlineLvl w:val="0"/>
              <w:rPr>
                <w:sz w:val="22"/>
                <w:szCs w:val="22"/>
              </w:rPr>
            </w:pPr>
            <w:r>
              <w:rPr>
                <w:sz w:val="22"/>
                <w:szCs w:val="22"/>
              </w:rPr>
              <w:t>100,000 ± net usable square feet</w:t>
            </w:r>
          </w:p>
        </w:tc>
      </w:tr>
      <w:tr w:rsidR="00C328D6" w14:paraId="5C825460" w14:textId="77777777" w:rsidTr="00C328D6">
        <w:trPr>
          <w:jc w:val="center"/>
        </w:trPr>
        <w:tc>
          <w:tcPr>
            <w:tcW w:w="1885" w:type="dxa"/>
          </w:tcPr>
          <w:p w14:paraId="39EFE973" w14:textId="7C28582D" w:rsidR="00C328D6" w:rsidRDefault="00C328D6" w:rsidP="00C328D6">
            <w:pPr>
              <w:outlineLvl w:val="0"/>
              <w:rPr>
                <w:sz w:val="22"/>
                <w:szCs w:val="22"/>
              </w:rPr>
            </w:pPr>
            <w:r>
              <w:rPr>
                <w:sz w:val="22"/>
                <w:szCs w:val="22"/>
              </w:rPr>
              <w:t xml:space="preserve">Zoning </w:t>
            </w:r>
          </w:p>
        </w:tc>
        <w:tc>
          <w:tcPr>
            <w:tcW w:w="3600" w:type="dxa"/>
          </w:tcPr>
          <w:p w14:paraId="43DBA629" w14:textId="468FA91C" w:rsidR="00C328D6" w:rsidRDefault="00C328D6" w:rsidP="00C328D6">
            <w:pPr>
              <w:outlineLvl w:val="0"/>
              <w:rPr>
                <w:sz w:val="22"/>
                <w:szCs w:val="22"/>
              </w:rPr>
            </w:pPr>
            <w:r>
              <w:rPr>
                <w:sz w:val="22"/>
                <w:szCs w:val="22"/>
              </w:rPr>
              <w:t>Commercial</w:t>
            </w:r>
          </w:p>
        </w:tc>
      </w:tr>
    </w:tbl>
    <w:p w14:paraId="07E37942" w14:textId="3CAF9213" w:rsidR="00C328D6" w:rsidRDefault="00C328D6" w:rsidP="00384FE7">
      <w:pPr>
        <w:jc w:val="center"/>
        <w:outlineLvl w:val="0"/>
        <w:rPr>
          <w:sz w:val="22"/>
          <w:szCs w:val="22"/>
        </w:rPr>
      </w:pPr>
    </w:p>
    <w:p w14:paraId="1F321756" w14:textId="4632D9AF" w:rsidR="008B7E0D" w:rsidRPr="001A193A" w:rsidRDefault="0089400C" w:rsidP="008B7E0D">
      <w:pPr>
        <w:rPr>
          <w:szCs w:val="21"/>
        </w:rPr>
      </w:pPr>
      <w:r w:rsidRPr="001A193A">
        <w:t>The State of Connecticut, Department of Administrative Services (DAS), will accept proposals</w:t>
      </w:r>
      <w:r w:rsidR="00384FE7" w:rsidRPr="001A193A">
        <w:t xml:space="preserve"> from property owners or their re</w:t>
      </w:r>
      <w:r w:rsidR="000112B3" w:rsidRPr="001A193A">
        <w:t>presentative(s)</w:t>
      </w:r>
      <w:r w:rsidRPr="001A193A">
        <w:t xml:space="preserve"> </w:t>
      </w:r>
      <w:r w:rsidR="000112B3" w:rsidRPr="001A193A">
        <w:t xml:space="preserve">until 3:00 PM on Wednesday, May 20, 2020, </w:t>
      </w:r>
      <w:r w:rsidRPr="001A193A">
        <w:t xml:space="preserve">to </w:t>
      </w:r>
      <w:r w:rsidR="000112B3" w:rsidRPr="001A193A">
        <w:t>sell 100,000 ±</w:t>
      </w:r>
      <w:r w:rsidRPr="001A193A">
        <w:t xml:space="preserve"> </w:t>
      </w:r>
      <w:r w:rsidR="000112B3" w:rsidRPr="001A193A">
        <w:t xml:space="preserve">net usable square feet of </w:t>
      </w:r>
      <w:r w:rsidR="00043C4B" w:rsidRPr="001A193A">
        <w:t>warehouse space.</w:t>
      </w:r>
      <w:r w:rsidR="000112B3" w:rsidRPr="001A193A">
        <w:t xml:space="preserve">  Only sale proposals will be accepted for review, no lease proposals.  Offers from option holders cannot be considered.  </w:t>
      </w:r>
      <w:r w:rsidR="008B7E0D" w:rsidRPr="001A193A">
        <w:rPr>
          <w:szCs w:val="21"/>
        </w:rPr>
        <w:t>Criteria for the warehouse shall include:</w:t>
      </w:r>
    </w:p>
    <w:p w14:paraId="5FB5FFF4" w14:textId="77777777" w:rsidR="008B7E0D" w:rsidRDefault="008B7E0D" w:rsidP="008B7E0D">
      <w:pPr>
        <w:rPr>
          <w:i/>
          <w:szCs w:val="21"/>
        </w:rPr>
      </w:pPr>
    </w:p>
    <w:p w14:paraId="23861E75" w14:textId="29A2F270" w:rsidR="008B7E0D" w:rsidRDefault="775834DA" w:rsidP="775834DA">
      <w:pPr>
        <w:rPr>
          <w:i/>
          <w:iCs/>
        </w:rPr>
      </w:pPr>
      <w:r w:rsidRPr="775834DA">
        <w:rPr>
          <w:i/>
          <w:iCs/>
        </w:rPr>
        <w:t>Centrally located in CT and within proximity to a major highway, have loading docks and rollup bay doors to be accessible for trac</w:t>
      </w:r>
      <w:r w:rsidR="001B04FD">
        <w:rPr>
          <w:i/>
          <w:iCs/>
        </w:rPr>
        <w:t>to</w:t>
      </w:r>
      <w:r w:rsidRPr="775834DA">
        <w:rPr>
          <w:i/>
          <w:iCs/>
        </w:rPr>
        <w:t>r trailers and straight box trucks.  The space must be air conditioned and include office space. Ample Parking and the building and grounds must be secure.</w:t>
      </w:r>
    </w:p>
    <w:p w14:paraId="32581625" w14:textId="77777777" w:rsidR="00563D14" w:rsidRDefault="00563D14" w:rsidP="008B7E0D">
      <w:pPr>
        <w:rPr>
          <w:i/>
          <w:szCs w:val="21"/>
        </w:rPr>
      </w:pPr>
    </w:p>
    <w:p w14:paraId="39ED0A42" w14:textId="4F67838F" w:rsidR="000112B3" w:rsidRPr="001A193A" w:rsidRDefault="000112B3" w:rsidP="008B7E0D">
      <w:pPr>
        <w:rPr>
          <w:iCs/>
          <w:szCs w:val="21"/>
        </w:rPr>
      </w:pPr>
      <w:r w:rsidRPr="001A193A">
        <w:rPr>
          <w:iCs/>
          <w:szCs w:val="21"/>
        </w:rPr>
        <w:t xml:space="preserve">Sellers shall submit their proposal </w:t>
      </w:r>
      <w:r w:rsidR="00311CC8" w:rsidRPr="001A193A">
        <w:rPr>
          <w:iCs/>
          <w:szCs w:val="21"/>
        </w:rPr>
        <w:t>containing the following minimal information:</w:t>
      </w:r>
    </w:p>
    <w:p w14:paraId="512EF318" w14:textId="1130BA03" w:rsidR="00311CC8" w:rsidRPr="001A193A" w:rsidRDefault="00311CC8" w:rsidP="008B7E0D">
      <w:pPr>
        <w:rPr>
          <w:iCs/>
          <w:szCs w:val="21"/>
        </w:rPr>
      </w:pPr>
    </w:p>
    <w:p w14:paraId="155CB3D9" w14:textId="7362F68C" w:rsidR="00311CC8" w:rsidRPr="001A193A" w:rsidRDefault="00311CC8" w:rsidP="00311CC8">
      <w:pPr>
        <w:pStyle w:val="ListParagraph"/>
        <w:numPr>
          <w:ilvl w:val="0"/>
          <w:numId w:val="2"/>
        </w:numPr>
        <w:rPr>
          <w:iCs/>
          <w:szCs w:val="21"/>
        </w:rPr>
      </w:pPr>
      <w:r w:rsidRPr="001A193A">
        <w:rPr>
          <w:iCs/>
          <w:szCs w:val="21"/>
        </w:rPr>
        <w:t>Name of proponent</w:t>
      </w:r>
    </w:p>
    <w:p w14:paraId="3699564B" w14:textId="485BE972" w:rsidR="00311CC8" w:rsidRPr="001A193A" w:rsidRDefault="00311CC8" w:rsidP="00311CC8">
      <w:pPr>
        <w:pStyle w:val="ListParagraph"/>
        <w:numPr>
          <w:ilvl w:val="0"/>
          <w:numId w:val="2"/>
        </w:numPr>
        <w:rPr>
          <w:iCs/>
          <w:szCs w:val="21"/>
        </w:rPr>
      </w:pPr>
      <w:r w:rsidRPr="001A193A">
        <w:rPr>
          <w:iCs/>
          <w:szCs w:val="21"/>
        </w:rPr>
        <w:t>Selling price</w:t>
      </w:r>
    </w:p>
    <w:p w14:paraId="09178C64" w14:textId="279961FA" w:rsidR="00311CC8" w:rsidRPr="001A193A" w:rsidRDefault="00311CC8" w:rsidP="00311CC8">
      <w:pPr>
        <w:pStyle w:val="ListParagraph"/>
        <w:numPr>
          <w:ilvl w:val="0"/>
          <w:numId w:val="2"/>
        </w:numPr>
        <w:rPr>
          <w:iCs/>
          <w:szCs w:val="21"/>
        </w:rPr>
      </w:pPr>
      <w:r w:rsidRPr="001A193A">
        <w:rPr>
          <w:iCs/>
          <w:szCs w:val="21"/>
        </w:rPr>
        <w:t>Details on the property being offered.</w:t>
      </w:r>
    </w:p>
    <w:p w14:paraId="42506952" w14:textId="5DE7E5F0" w:rsidR="00311CC8" w:rsidRPr="001A193A" w:rsidRDefault="00311CC8" w:rsidP="00311CC8">
      <w:pPr>
        <w:pStyle w:val="ListParagraph"/>
        <w:numPr>
          <w:ilvl w:val="0"/>
          <w:numId w:val="2"/>
        </w:numPr>
        <w:rPr>
          <w:iCs/>
          <w:szCs w:val="21"/>
        </w:rPr>
      </w:pPr>
      <w:r w:rsidRPr="001A193A">
        <w:rPr>
          <w:iCs/>
          <w:szCs w:val="21"/>
        </w:rPr>
        <w:t>Any material conditions or contingencies sought by seller.</w:t>
      </w:r>
    </w:p>
    <w:p w14:paraId="1D546EB6" w14:textId="08CC407C" w:rsidR="00311CC8" w:rsidRPr="001A193A" w:rsidRDefault="00311CC8" w:rsidP="00311CC8">
      <w:pPr>
        <w:rPr>
          <w:iCs/>
          <w:szCs w:val="21"/>
        </w:rPr>
      </w:pPr>
    </w:p>
    <w:p w14:paraId="3C5D57BB" w14:textId="459FDB47" w:rsidR="0033305F" w:rsidRPr="001A193A" w:rsidRDefault="00311CC8" w:rsidP="00311CC8">
      <w:pPr>
        <w:rPr>
          <w:iCs/>
        </w:rPr>
      </w:pPr>
      <w:r w:rsidRPr="001A193A">
        <w:rPr>
          <w:iCs/>
          <w:szCs w:val="21"/>
        </w:rPr>
        <w:t xml:space="preserve">Proposals should be </w:t>
      </w:r>
      <w:r w:rsidR="00043C4B" w:rsidRPr="001A193A">
        <w:rPr>
          <w:iCs/>
        </w:rPr>
        <w:t xml:space="preserve">submitted electronically to </w:t>
      </w:r>
      <w:hyperlink r:id="rId5" w:history="1">
        <w:r w:rsidR="00043C4B" w:rsidRPr="001A193A">
          <w:rPr>
            <w:rStyle w:val="Hyperlink"/>
            <w:iCs/>
          </w:rPr>
          <w:t>shane.mallory@ct.gov</w:t>
        </w:r>
      </w:hyperlink>
      <w:r w:rsidR="00043C4B" w:rsidRPr="001A193A">
        <w:rPr>
          <w:iCs/>
        </w:rPr>
        <w:t xml:space="preserve"> </w:t>
      </w:r>
      <w:r w:rsidR="0033305F" w:rsidRPr="001A193A">
        <w:rPr>
          <w:iCs/>
        </w:rPr>
        <w:t xml:space="preserve">and contain Solicitation Number: </w:t>
      </w:r>
      <w:r w:rsidR="0033305F" w:rsidRPr="001A193A">
        <w:rPr>
          <w:b/>
          <w:bCs/>
          <w:iCs/>
        </w:rPr>
        <w:t>PB 20-01</w:t>
      </w:r>
      <w:r w:rsidR="0033305F" w:rsidRPr="001A193A">
        <w:rPr>
          <w:iCs/>
        </w:rPr>
        <w:t xml:space="preserve">.  </w:t>
      </w:r>
    </w:p>
    <w:p w14:paraId="77525D78" w14:textId="21C76FE1" w:rsidR="0033305F" w:rsidRDefault="0033305F">
      <w:pPr>
        <w:rPr>
          <w:iCs/>
        </w:rPr>
      </w:pPr>
    </w:p>
    <w:p w14:paraId="2931054F" w14:textId="77777777" w:rsidR="00563D14" w:rsidRDefault="00563D14" w:rsidP="00563D14">
      <w:pPr>
        <w:spacing w:after="260"/>
        <w:jc w:val="both"/>
        <w:rPr>
          <w:color w:val="4472C4" w:themeColor="accent5"/>
        </w:rPr>
      </w:pPr>
      <w:r w:rsidRPr="00563D14">
        <w:rPr>
          <w:color w:val="4472C4" w:themeColor="accent5"/>
        </w:rPr>
        <w:t xml:space="preserve">If you are awarded the subject </w:t>
      </w:r>
      <w:r>
        <w:rPr>
          <w:color w:val="4472C4" w:themeColor="accent5"/>
        </w:rPr>
        <w:t xml:space="preserve">RFP </w:t>
      </w:r>
      <w:r w:rsidRPr="00563D14">
        <w:rPr>
          <w:color w:val="4472C4" w:themeColor="accent5"/>
        </w:rPr>
        <w:t xml:space="preserve">and the </w:t>
      </w:r>
      <w:r>
        <w:rPr>
          <w:color w:val="4472C4" w:themeColor="accent5"/>
        </w:rPr>
        <w:t>RFP</w:t>
      </w:r>
      <w:r w:rsidRPr="00563D14">
        <w:rPr>
          <w:color w:val="4472C4" w:themeColor="accent5"/>
        </w:rPr>
        <w:t xml:space="preserve"> has a value of $50,000 or more, you will be required to sign and submit, at the time of </w:t>
      </w:r>
      <w:r>
        <w:rPr>
          <w:color w:val="4472C4" w:themeColor="accent5"/>
        </w:rPr>
        <w:t>purchase</w:t>
      </w:r>
      <w:r w:rsidRPr="00563D14">
        <w:rPr>
          <w:color w:val="4472C4" w:themeColor="accent5"/>
        </w:rPr>
        <w:t xml:space="preserve"> execution, a certification, certifying that you, your company, and specified other individuals have given no gifts to DAS personnel and other individuals set forth in the certification.  See </w:t>
      </w:r>
      <w:hyperlink r:id="rId6" w:history="1">
        <w:r w:rsidRPr="00316A2A">
          <w:rPr>
            <w:rStyle w:val="Hyperlink"/>
          </w:rPr>
          <w:t>http://portal.ct.gov/DAS/Leasing-and-Property-Transfer/Lease-Space-to-the-State/Documents</w:t>
        </w:r>
      </w:hyperlink>
      <w:r w:rsidRPr="00563D14">
        <w:rPr>
          <w:color w:val="4472C4" w:themeColor="accent5"/>
        </w:rPr>
        <w:t xml:space="preserve"> or see Conn. Gen. Stat. §4-252.  Pursuant to Conn. Gen. Stat. §4-252(d), any bidder, proposer, or person who responded to a request for qualifications for a contract with a value of $50,000 or more who does not make this certification shall be disqualified. BE ADVISED, pursuant to Conn. Gen. Stat. §9-612, any person submitting a Proposal to </w:t>
      </w:r>
      <w:r>
        <w:rPr>
          <w:color w:val="4472C4" w:themeColor="accent5"/>
        </w:rPr>
        <w:t>Sell</w:t>
      </w:r>
      <w:r w:rsidRPr="00563D14">
        <w:rPr>
          <w:color w:val="4472C4" w:themeColor="accent5"/>
        </w:rPr>
        <w:t xml:space="preserve"> Space shall be deemed a Prospective State Contractor and thereby subject to the prohibition on gifts and campaign contributions contained in Section 9-612.</w:t>
      </w:r>
    </w:p>
    <w:p w14:paraId="0E091746" w14:textId="2FC72DA5" w:rsidR="00563D14" w:rsidRPr="00563D14" w:rsidRDefault="00563D14" w:rsidP="00563D14">
      <w:pPr>
        <w:spacing w:after="260"/>
        <w:jc w:val="both"/>
        <w:rPr>
          <w:color w:val="4472C4" w:themeColor="accent5"/>
        </w:rPr>
      </w:pPr>
      <w:r>
        <w:rPr>
          <w:color w:val="4472C4" w:themeColor="accent5"/>
        </w:rPr>
        <w:t xml:space="preserve">State website solicitation: </w:t>
      </w:r>
      <w:bookmarkStart w:id="0" w:name="_GoBack"/>
      <w:bookmarkEnd w:id="0"/>
      <w:r>
        <w:rPr>
          <w:color w:val="0000FF"/>
          <w:u w:val="single"/>
        </w:rPr>
        <w:fldChar w:fldCharType="begin"/>
      </w:r>
      <w:r>
        <w:rPr>
          <w:color w:val="0000FF"/>
          <w:u w:val="single"/>
        </w:rPr>
        <w:instrText xml:space="preserve"> HYPERLINK "</w:instrText>
      </w:r>
      <w:r w:rsidRPr="00563D14">
        <w:rPr>
          <w:color w:val="0000FF"/>
          <w:u w:val="single"/>
        </w:rPr>
        <w:instrText>https://biznet.ct.gov/SCP_Search/BidDetail.aspx?CID=53141</w:instrText>
      </w:r>
      <w:r>
        <w:rPr>
          <w:color w:val="0000FF"/>
          <w:u w:val="single"/>
        </w:rPr>
        <w:instrText xml:space="preserve">" </w:instrText>
      </w:r>
      <w:r>
        <w:rPr>
          <w:color w:val="0000FF"/>
          <w:u w:val="single"/>
        </w:rPr>
        <w:fldChar w:fldCharType="separate"/>
      </w:r>
      <w:r w:rsidRPr="00316A2A">
        <w:rPr>
          <w:rStyle w:val="Hyperlink"/>
        </w:rPr>
        <w:t>https://biznet.ct.gov/SCP_Search/BidDetail.aspx?CID=53141</w:t>
      </w:r>
      <w:r>
        <w:rPr>
          <w:color w:val="0000FF"/>
          <w:u w:val="single"/>
        </w:rPr>
        <w:fldChar w:fldCharType="end"/>
      </w:r>
    </w:p>
    <w:p w14:paraId="4D651B08" w14:textId="648A1578" w:rsidR="0033305F" w:rsidRDefault="775834DA">
      <w:r>
        <w:t xml:space="preserve">The State reserves the right to unilaterally and without cause accept or reject any or all Proposals, and to withdraw Requests for Proposals to Sell at any time before or after a submittal period has closed.  All property undergoing acquisition by DAS is subject, but not limited to </w:t>
      </w:r>
      <w:r>
        <w:lastRenderedPageBreak/>
        <w:t>Connecticut General Statute (CGS) 4b-21, as they may be amended.  Further, if the Commissioner of DAS deems advisable, he/she may negotiate with any of the proponents in order to obtain an agreement that is the best interest of the state.</w:t>
      </w:r>
    </w:p>
    <w:p w14:paraId="78327AD3" w14:textId="439EED2F" w:rsidR="008805C0" w:rsidRDefault="008805C0"/>
    <w:p w14:paraId="42FDF9B8" w14:textId="31B6E93F" w:rsidR="008805C0" w:rsidRDefault="008805C0"/>
    <w:p w14:paraId="511EEFE0" w14:textId="2AE543FC" w:rsidR="002E2230" w:rsidRDefault="002E2230"/>
    <w:p w14:paraId="386DEBB2" w14:textId="6BF7DAA3" w:rsidR="002E2230" w:rsidRDefault="002E2230"/>
    <w:p w14:paraId="1E8B8A4A" w14:textId="6A450216" w:rsidR="002E2230" w:rsidRDefault="002E2230"/>
    <w:p w14:paraId="746DF196" w14:textId="38DA0167" w:rsidR="002E2230" w:rsidRDefault="002E2230"/>
    <w:p w14:paraId="1E749447" w14:textId="796922AF" w:rsidR="002E2230" w:rsidRDefault="002E2230"/>
    <w:p w14:paraId="51648AEF" w14:textId="1932DA4E" w:rsidR="002E2230" w:rsidRDefault="002E2230"/>
    <w:p w14:paraId="4EED8FE4" w14:textId="0AB60874" w:rsidR="002E2230" w:rsidRDefault="002E2230"/>
    <w:p w14:paraId="046F0FD4" w14:textId="7B63BF82" w:rsidR="002E2230" w:rsidRPr="001A193A" w:rsidRDefault="002E2230" w:rsidP="002B5680">
      <w:pPr>
        <w:jc w:val="center"/>
      </w:pPr>
      <w:r>
        <w:t xml:space="preserve">Josh </w:t>
      </w:r>
      <w:proofErr w:type="spellStart"/>
      <w:r>
        <w:t>Geballe</w:t>
      </w:r>
      <w:proofErr w:type="spellEnd"/>
      <w:r w:rsidR="002B5680">
        <w:t>, Commissioner</w:t>
      </w:r>
    </w:p>
    <w:sectPr w:rsidR="002E2230" w:rsidRPr="001A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2B56"/>
    <w:multiLevelType w:val="hybridMultilevel"/>
    <w:tmpl w:val="86866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F0767"/>
    <w:multiLevelType w:val="hybridMultilevel"/>
    <w:tmpl w:val="BEB6C43C"/>
    <w:lvl w:ilvl="0" w:tplc="784C690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0C"/>
    <w:rsid w:val="000112B3"/>
    <w:rsid w:val="00043C4B"/>
    <w:rsid w:val="001A193A"/>
    <w:rsid w:val="001B04FD"/>
    <w:rsid w:val="00211022"/>
    <w:rsid w:val="002B5680"/>
    <w:rsid w:val="002E2230"/>
    <w:rsid w:val="00311CC8"/>
    <w:rsid w:val="0033305F"/>
    <w:rsid w:val="00384FE7"/>
    <w:rsid w:val="003D64F9"/>
    <w:rsid w:val="00560FB3"/>
    <w:rsid w:val="00563D14"/>
    <w:rsid w:val="006D56A2"/>
    <w:rsid w:val="007745A8"/>
    <w:rsid w:val="007B0156"/>
    <w:rsid w:val="008805C0"/>
    <w:rsid w:val="0089400C"/>
    <w:rsid w:val="008B7E0D"/>
    <w:rsid w:val="00A908E5"/>
    <w:rsid w:val="00C328D6"/>
    <w:rsid w:val="00D04EF0"/>
    <w:rsid w:val="7758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A5C9"/>
  <w15:chartTrackingRefBased/>
  <w15:docId w15:val="{C0B27712-B56F-4CE3-A543-6700A59D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40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9400C"/>
    <w:rPr>
      <w:color w:val="0000FF"/>
      <w:u w:val="single"/>
    </w:rPr>
  </w:style>
  <w:style w:type="character" w:styleId="FollowedHyperlink">
    <w:name w:val="FollowedHyperlink"/>
    <w:basedOn w:val="DefaultParagraphFont"/>
    <w:uiPriority w:val="99"/>
    <w:semiHidden/>
    <w:unhideWhenUsed/>
    <w:rsid w:val="00043C4B"/>
    <w:rPr>
      <w:color w:val="954F72" w:themeColor="followedHyperlink"/>
      <w:u w:val="single"/>
    </w:rPr>
  </w:style>
  <w:style w:type="paragraph" w:styleId="ListParagraph">
    <w:name w:val="List Paragraph"/>
    <w:basedOn w:val="Normal"/>
    <w:uiPriority w:val="34"/>
    <w:qFormat/>
    <w:rsid w:val="00311CC8"/>
    <w:pPr>
      <w:ind w:left="720"/>
      <w:contextualSpacing/>
    </w:pPr>
  </w:style>
  <w:style w:type="table" w:styleId="TableGrid">
    <w:name w:val="Table Grid"/>
    <w:basedOn w:val="TableNormal"/>
    <w:uiPriority w:val="39"/>
    <w:rsid w:val="00C3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3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t.gov/DAS/Leasing-and-Property-Transfer/Lease-Space-to-the-State/Documents" TargetMode="External"/><Relationship Id="rId5" Type="http://schemas.openxmlformats.org/officeDocument/2006/relationships/hyperlink" Target="mailto:shane.mallory@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Thomas</dc:creator>
  <cp:keywords/>
  <dc:description/>
  <cp:lastModifiedBy>Pysh, Thomas</cp:lastModifiedBy>
  <cp:revision>2</cp:revision>
  <dcterms:created xsi:type="dcterms:W3CDTF">2020-05-14T13:31:00Z</dcterms:created>
  <dcterms:modified xsi:type="dcterms:W3CDTF">2020-05-14T13:31:00Z</dcterms:modified>
</cp:coreProperties>
</file>